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B0" w:rsidRDefault="00514CB0" w:rsidP="00514CB0">
      <w:pPr>
        <w:pStyle w:val="1"/>
        <w:rPr>
          <w:szCs w:val="18"/>
        </w:rPr>
      </w:pPr>
      <w:r>
        <w:t>(7664-93-9)硫酸的理化及危险特性表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50"/>
        <w:gridCol w:w="2095"/>
        <w:gridCol w:w="2340"/>
      </w:tblGrid>
      <w:tr w:rsidR="00514CB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中文名：硫酸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sulfuric  acid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SO</w:t>
            </w:r>
            <w:r>
              <w:rPr>
                <w:rFonts w:ascii="宋体" w:hAnsi="宋体" w:hint="eastAsia"/>
                <w:vertAlign w:val="subscript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分子量：98.08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UN编号：1830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酸性腐蚀品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危规号：81007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CAS号：7664-93-9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外观与性状：</w:t>
            </w:r>
            <w:r>
              <w:rPr>
                <w:rFonts w:ascii="宋体" w:hAnsi="宋体" w:hint="eastAsia"/>
              </w:rPr>
              <w:t>纯品为无色透明油状液体，无臭。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溶解性：与水混溶。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熔点（℃）：10.5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沸点（℃）：330.0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相对密度（水＝1）：1.83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相对密度（空气＝1）：3.4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饱和蒸气压（kPa）：0.13(145.8℃)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514CB0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爆炸上限（%）：10.4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 —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禁忌物：碱类、碱金属、水、强还原剂、易燃或可燃物。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水大量放热，可发生溅沸。与易燃物（如苯）和可燃物（如糖、纤维素等）接触会发生剧烈反应，甚至引起燃烧。遇电石、高氯酸盐、雷酸盐、硝酸盐、苦味酸盐、金属粉末等剧烈反应，发生爆炸或燃烧。有强烈的腐蚀性和吸水性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灭火方法：消防人员必须穿全身耐酸碱消防服。灭火剂：干粉、二氧化碳、砂土。避免水流冲击物品，以免遇水会放出大量热量发生喷溅而灼伤皮肤。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：2140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：510mg/m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，2小时(大鼠吸入)</w:t>
            </w:r>
          </w:p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：320mg/m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，2小时(小鼠吸入)</w:t>
            </w:r>
          </w:p>
        </w:tc>
      </w:tr>
      <w:tr w:rsidR="00514CB0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皮肤、粘膜等组织有强烈的刺激和腐蚀作用。蒸气或雾可引起结膜炎、结膜水肿、角膜混浊，以致失明；引起呼吸道刺激，重者发生呼吸困难和肺水肿；高浓度引起喉痉挛或声门水肿而窒息死亡。口服后引起消化道烧伤以致溃疡形成；严重者可能有胃穿孔、腹膜炎、肾损害、休克等。皮肤灼伤轻者出现红斑，重者形成溃疡，愈后癍痕收缩影响功能。溅入眼内可造成灼伤，甚至角膜穿孔、全眼炎以至失明。·慢性影响：牙齿酸蚀症、慢性支气管炎、肺气肿和肺硬化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  ※眼睛接触：立即提起眼睑，用大量流动清水或生理盐水彻底冲洗至少15分钟。就医。   ※吸入：迅速脱离现场至空气新鲜处。保持呼吸道通畅。如呼吸困难，给输氧。如呼吸停止，立即进行人工呼吸，就医。   ※食入：误食者用水漱口，给饮牛奶或蛋清。就医。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工程控制：密闭操作，注意通风。尽可能机械化、自动化。提供安全淋浴和洗眼设备。    ※呼吸系统防护：可能接触其烟雾时，佩戴自吸过滤式防毒面具（全面罩）或空气呼吸器。紧急事态抢救或撒离时佩戴氧气呼吸器。   ※眼睛防护：呼吸系统防护中已作防护。    ※身体防护：穿橡胶耐酸碱服。   ※手防护：戴橡胶耐酸碱手套。    ※其他：工作场所禁止吸烟，进食、饮水和饭前要洗手。工作毕，淋浴更衣。单独存放被毒物污染的衣服，洗后备用。保持良好的卫生习惯。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酸碱工作服。不要直接接触泄漏物。尽可能切断泄漏源。防止进入下水道、排洪沟等限制性空间。小量泄漏：用砂土、干燥石灰或苏打灰混合。也可以用大量水冲洗，洗水稀释后放入废水系统。大量泄漏：构筑围堤或挖坑收容；用泵转移至槽车或专用收集器内，回收或运至废物处理场所处置。</w:t>
            </w:r>
          </w:p>
        </w:tc>
      </w:tr>
      <w:tr w:rsidR="00514CB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514CB0" w:rsidRDefault="00514CB0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CB0" w:rsidRDefault="00514CB0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储存于阴凉、干燥、通风良好的仓间。应与易燃或可燃物、碱类、金属粉末等分开存放。不可混储混运。搬运时要轻装轻卸，防止包装及容器损坏。分装和搬运作业要注意个人防护。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B0"/>
    <w:rsid w:val="00514CB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1C560-9DEB-447E-882D-FE9C887E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14CB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14CB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>zyhq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